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3D4C" w14:textId="77777777" w:rsidR="0021769A" w:rsidRDefault="007E59BF" w:rsidP="00084265">
      <w:pPr>
        <w:pStyle w:val="ListParagraph"/>
        <w:numPr>
          <w:ilvl w:val="0"/>
          <w:numId w:val="1"/>
        </w:numPr>
        <w:tabs>
          <w:tab w:val="clear" w:pos="720"/>
          <w:tab w:val="left" w:pos="426"/>
        </w:tabs>
        <w:spacing w:before="240"/>
        <w:ind w:left="426"/>
      </w:pPr>
      <w:bookmarkStart w:id="0" w:name="_GoBack"/>
      <w:bookmarkEnd w:id="0"/>
      <w:r>
        <w:t xml:space="preserve">The Energy and Water Ombudsman is appointed by the Governor in Council under </w:t>
      </w:r>
      <w:r w:rsidR="00844207">
        <w:t xml:space="preserve">section 51 of </w:t>
      </w:r>
      <w:r>
        <w:t xml:space="preserve">the </w:t>
      </w:r>
      <w:r w:rsidRPr="0021769A">
        <w:rPr>
          <w:i/>
        </w:rPr>
        <w:t>Energy and Water Ombudsman Act 200</w:t>
      </w:r>
      <w:r>
        <w:rPr>
          <w:i/>
        </w:rPr>
        <w:t>6</w:t>
      </w:r>
      <w:r>
        <w:t>.</w:t>
      </w:r>
    </w:p>
    <w:p w14:paraId="20C63D4D" w14:textId="77777777" w:rsidR="0021769A" w:rsidRDefault="007E59BF" w:rsidP="00084265">
      <w:pPr>
        <w:pStyle w:val="ListParagraph"/>
        <w:numPr>
          <w:ilvl w:val="0"/>
          <w:numId w:val="1"/>
        </w:numPr>
        <w:tabs>
          <w:tab w:val="clear" w:pos="720"/>
          <w:tab w:val="left" w:pos="426"/>
        </w:tabs>
        <w:spacing w:before="240"/>
        <w:ind w:left="426"/>
      </w:pPr>
      <w:r>
        <w:rPr>
          <w:bCs/>
          <w:spacing w:val="-3"/>
        </w:rPr>
        <w:t>The Energy and Water Ombudsman receives, investigates and facilitates the resolution of complaints made by small energy</w:t>
      </w:r>
      <w:r w:rsidR="00CA3FC2">
        <w:rPr>
          <w:bCs/>
          <w:spacing w:val="-3"/>
        </w:rPr>
        <w:t xml:space="preserve"> customers</w:t>
      </w:r>
      <w:r>
        <w:rPr>
          <w:bCs/>
          <w:spacing w:val="-3"/>
        </w:rPr>
        <w:t xml:space="preserve"> and South East Queensland water customers, in relation to </w:t>
      </w:r>
      <w:r w:rsidR="00BE61E1">
        <w:rPr>
          <w:bCs/>
          <w:spacing w:val="-3"/>
        </w:rPr>
        <w:t>their electricity, gas or water providers</w:t>
      </w:r>
      <w:r>
        <w:rPr>
          <w:bCs/>
          <w:spacing w:val="-3"/>
        </w:rPr>
        <w:t>.</w:t>
      </w:r>
    </w:p>
    <w:p w14:paraId="20C63D4E" w14:textId="77777777" w:rsidR="0021769A" w:rsidRDefault="007E59BF" w:rsidP="00084265">
      <w:pPr>
        <w:pStyle w:val="ListParagraph"/>
        <w:numPr>
          <w:ilvl w:val="0"/>
          <w:numId w:val="1"/>
        </w:numPr>
        <w:tabs>
          <w:tab w:val="clear" w:pos="720"/>
          <w:tab w:val="left" w:pos="426"/>
        </w:tabs>
        <w:spacing w:before="240"/>
        <w:ind w:left="426"/>
      </w:pPr>
      <w:r>
        <w:t xml:space="preserve">The </w:t>
      </w:r>
      <w:r>
        <w:rPr>
          <w:spacing w:val="-3"/>
        </w:rPr>
        <w:t xml:space="preserve">Land Access </w:t>
      </w:r>
      <w:r>
        <w:rPr>
          <w:spacing w:val="-4"/>
        </w:rPr>
        <w:t xml:space="preserve">Ombudsman </w:t>
      </w:r>
      <w:r>
        <w:t xml:space="preserve">is </w:t>
      </w:r>
      <w:r>
        <w:rPr>
          <w:spacing w:val="-4"/>
        </w:rPr>
        <w:t xml:space="preserve">appointed </w:t>
      </w:r>
      <w:r>
        <w:t>by the Governor in Council</w:t>
      </w:r>
      <w:r>
        <w:rPr>
          <w:spacing w:val="-4"/>
        </w:rPr>
        <w:t xml:space="preserve"> under </w:t>
      </w:r>
      <w:r w:rsidR="00844207">
        <w:rPr>
          <w:spacing w:val="-4"/>
        </w:rPr>
        <w:t xml:space="preserve">section 9 of </w:t>
      </w:r>
      <w:r>
        <w:t xml:space="preserve">the </w:t>
      </w:r>
      <w:r>
        <w:rPr>
          <w:i/>
          <w:spacing w:val="-3"/>
        </w:rPr>
        <w:t xml:space="preserve">Land </w:t>
      </w:r>
      <w:r>
        <w:rPr>
          <w:i/>
          <w:spacing w:val="-4"/>
        </w:rPr>
        <w:t xml:space="preserve">Access Ombudsman </w:t>
      </w:r>
      <w:r>
        <w:rPr>
          <w:i/>
          <w:spacing w:val="-3"/>
        </w:rPr>
        <w:t>Act</w:t>
      </w:r>
      <w:r>
        <w:rPr>
          <w:i/>
          <w:spacing w:val="-19"/>
        </w:rPr>
        <w:t xml:space="preserve"> </w:t>
      </w:r>
      <w:r>
        <w:rPr>
          <w:i/>
          <w:spacing w:val="-3"/>
        </w:rPr>
        <w:t>2017</w:t>
      </w:r>
      <w:r>
        <w:rPr>
          <w:spacing w:val="-3"/>
        </w:rPr>
        <w:t>.</w:t>
      </w:r>
    </w:p>
    <w:p w14:paraId="20C63D4F" w14:textId="77777777" w:rsidR="003611B8" w:rsidRPr="009C739A" w:rsidRDefault="007E59BF" w:rsidP="00084265">
      <w:pPr>
        <w:pStyle w:val="ListParagraph"/>
        <w:numPr>
          <w:ilvl w:val="0"/>
          <w:numId w:val="1"/>
        </w:numPr>
        <w:tabs>
          <w:tab w:val="clear" w:pos="720"/>
          <w:tab w:val="left" w:pos="426"/>
        </w:tabs>
        <w:spacing w:before="240"/>
        <w:ind w:left="426"/>
      </w:pPr>
      <w:r w:rsidRPr="009C739A">
        <w:t>The Land Access Ombudsman investigate</w:t>
      </w:r>
      <w:r>
        <w:t>s</w:t>
      </w:r>
      <w:r w:rsidRPr="009C739A">
        <w:t xml:space="preserve"> and facilitate</w:t>
      </w:r>
      <w:r>
        <w:t>s</w:t>
      </w:r>
      <w:r w:rsidRPr="009C739A">
        <w:t xml:space="preserve"> the resolution of disputes about alleged breaches of conduct and compensation agreements under the </w:t>
      </w:r>
      <w:r w:rsidRPr="009C739A">
        <w:rPr>
          <w:i/>
        </w:rPr>
        <w:t>Mineral and Energy Resources (Common Provisions) Act 2014,</w:t>
      </w:r>
      <w:r w:rsidRPr="009C739A">
        <w:t xml:space="preserve"> and alleged breaches of make good agreements under the </w:t>
      </w:r>
      <w:r w:rsidRPr="009C739A">
        <w:rPr>
          <w:i/>
        </w:rPr>
        <w:t>Water Act 2000</w:t>
      </w:r>
      <w:r w:rsidRPr="009C739A">
        <w:t>.</w:t>
      </w:r>
    </w:p>
    <w:p w14:paraId="20C63D50" w14:textId="6E5E81DE" w:rsidR="0021769A" w:rsidRDefault="007E59BF" w:rsidP="00084265">
      <w:pPr>
        <w:pStyle w:val="ListParagraph"/>
        <w:numPr>
          <w:ilvl w:val="0"/>
          <w:numId w:val="1"/>
        </w:numPr>
        <w:tabs>
          <w:tab w:val="clear" w:pos="720"/>
          <w:tab w:val="left" w:pos="426"/>
        </w:tabs>
        <w:spacing w:before="240"/>
        <w:ind w:left="426"/>
      </w:pPr>
      <w:r>
        <w:rPr>
          <w:spacing w:val="-4"/>
          <w:u w:val="single"/>
        </w:rPr>
        <w:t>Cabinet endorsed</w:t>
      </w:r>
      <w:r>
        <w:t xml:space="preserve"> that Ms Jane Pires be recommended to the Governor in Council for reappointment as the Energy and Water Ombudsman and the Land Access Ombudsman </w:t>
      </w:r>
      <w:r w:rsidR="006D567D">
        <w:t xml:space="preserve">for a term of three years commencing </w:t>
      </w:r>
      <w:r>
        <w:t>from 1 December 2019.</w:t>
      </w:r>
    </w:p>
    <w:p w14:paraId="20C63D51" w14:textId="3AA90CF2" w:rsidR="00EC5418" w:rsidRPr="00F50CAC" w:rsidRDefault="007E59BF" w:rsidP="00084265">
      <w:pPr>
        <w:pStyle w:val="ListParagraph"/>
        <w:numPr>
          <w:ilvl w:val="0"/>
          <w:numId w:val="1"/>
        </w:numPr>
        <w:tabs>
          <w:tab w:val="clear" w:pos="720"/>
          <w:tab w:val="left" w:pos="426"/>
        </w:tabs>
        <w:spacing w:before="360"/>
        <w:ind w:left="426"/>
        <w:rPr>
          <w:i/>
          <w:spacing w:val="-4"/>
          <w:u w:val="single"/>
        </w:rPr>
      </w:pPr>
      <w:r w:rsidRPr="00F50CAC">
        <w:rPr>
          <w:i/>
          <w:spacing w:val="-4"/>
          <w:u w:val="single"/>
        </w:rPr>
        <w:t>Attachments</w:t>
      </w:r>
    </w:p>
    <w:p w14:paraId="20C63D52" w14:textId="75404C60" w:rsidR="00B36EE2" w:rsidRPr="00242D96" w:rsidRDefault="007E59BF" w:rsidP="00084265">
      <w:pPr>
        <w:pStyle w:val="ListParagraph"/>
        <w:numPr>
          <w:ilvl w:val="0"/>
          <w:numId w:val="5"/>
        </w:numPr>
        <w:spacing w:before="120"/>
        <w:ind w:left="720"/>
        <w:rPr>
          <w:bCs/>
          <w:spacing w:val="-3"/>
        </w:rPr>
      </w:pPr>
      <w:r w:rsidRPr="00242D96">
        <w:rPr>
          <w:bCs/>
          <w:spacing w:val="-3"/>
        </w:rPr>
        <w:t>Nil</w:t>
      </w:r>
      <w:r w:rsidR="006D567D">
        <w:rPr>
          <w:bCs/>
          <w:spacing w:val="-3"/>
        </w:rPr>
        <w:t>.</w:t>
      </w:r>
    </w:p>
    <w:sectPr w:rsidR="00B36EE2" w:rsidRPr="00242D96" w:rsidSect="000919A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CB8C" w14:textId="77777777" w:rsidR="00F73AED" w:rsidRDefault="00F73AED">
      <w:r>
        <w:separator/>
      </w:r>
    </w:p>
  </w:endnote>
  <w:endnote w:type="continuationSeparator" w:id="0">
    <w:p w14:paraId="455DD6D2" w14:textId="77777777" w:rsidR="00F73AED" w:rsidRDefault="00F7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B2BB" w14:textId="77777777" w:rsidR="00F73AED" w:rsidRDefault="00F73AED">
      <w:r>
        <w:separator/>
      </w:r>
    </w:p>
  </w:footnote>
  <w:footnote w:type="continuationSeparator" w:id="0">
    <w:p w14:paraId="655A502A" w14:textId="77777777" w:rsidR="00F73AED" w:rsidRDefault="00F7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3D57" w14:textId="47F21C28" w:rsidR="008C495A" w:rsidRPr="00D75134" w:rsidRDefault="007E59BF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20C63D58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0C63D59" w14:textId="77777777" w:rsidR="008C495A" w:rsidRPr="001E209B" w:rsidRDefault="007E59BF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F41493">
      <w:rPr>
        <w:rFonts w:ascii="Arial" w:hAnsi="Arial" w:cs="Arial"/>
        <w:b/>
        <w:sz w:val="22"/>
        <w:szCs w:val="22"/>
      </w:rPr>
      <w:t xml:space="preserve">October </w:t>
    </w:r>
    <w:r w:rsidR="00CD16DA">
      <w:rPr>
        <w:rFonts w:ascii="Arial" w:hAnsi="Arial" w:cs="Arial"/>
        <w:b/>
        <w:sz w:val="22"/>
        <w:szCs w:val="22"/>
      </w:rPr>
      <w:t>201</w:t>
    </w:r>
    <w:r w:rsidR="0021769A">
      <w:rPr>
        <w:rFonts w:ascii="Arial" w:hAnsi="Arial" w:cs="Arial"/>
        <w:b/>
        <w:sz w:val="22"/>
        <w:szCs w:val="22"/>
      </w:rPr>
      <w:t>9</w:t>
    </w:r>
  </w:p>
  <w:p w14:paraId="20C63D5A" w14:textId="77777777" w:rsidR="0021769A" w:rsidRPr="0021769A" w:rsidRDefault="007E59BF" w:rsidP="0021769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</w:t>
    </w:r>
    <w:r w:rsidRPr="0021769A">
      <w:rPr>
        <w:rFonts w:ascii="Arial" w:hAnsi="Arial" w:cs="Arial"/>
        <w:b/>
        <w:sz w:val="22"/>
        <w:szCs w:val="22"/>
        <w:u w:val="single"/>
      </w:rPr>
      <w:t xml:space="preserve">ppointment of </w:t>
    </w:r>
    <w:r>
      <w:rPr>
        <w:rFonts w:ascii="Arial" w:hAnsi="Arial" w:cs="Arial"/>
        <w:b/>
        <w:sz w:val="22"/>
        <w:szCs w:val="22"/>
        <w:u w:val="single"/>
      </w:rPr>
      <w:t xml:space="preserve">Energy and Water Ombudsman and </w:t>
    </w:r>
    <w:r w:rsidRPr="0021769A">
      <w:rPr>
        <w:rFonts w:ascii="Arial" w:hAnsi="Arial" w:cs="Arial"/>
        <w:b/>
        <w:sz w:val="22"/>
        <w:szCs w:val="22"/>
        <w:u w:val="single"/>
      </w:rPr>
      <w:t xml:space="preserve">Land Access Ombudsman </w:t>
    </w:r>
  </w:p>
  <w:p w14:paraId="20C63D5B" w14:textId="77777777" w:rsidR="008C495A" w:rsidRDefault="007E59BF" w:rsidP="0021769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1769A">
      <w:rPr>
        <w:rFonts w:ascii="Arial" w:hAnsi="Arial" w:cs="Arial"/>
        <w:b/>
        <w:sz w:val="22"/>
        <w:szCs w:val="22"/>
        <w:u w:val="single"/>
      </w:rPr>
      <w:t>Minister for Natural Resources, Mines and Energy</w:t>
    </w:r>
  </w:p>
  <w:p w14:paraId="20C63D5C" w14:textId="77777777"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09A6"/>
    <w:multiLevelType w:val="hybridMultilevel"/>
    <w:tmpl w:val="8DBCFA20"/>
    <w:lvl w:ilvl="0" w:tplc="7BA4D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4C32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0E0E0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5276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D0E7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26BB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A43C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2A0C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E8C4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331EE4"/>
    <w:multiLevelType w:val="hybridMultilevel"/>
    <w:tmpl w:val="9B2A4A22"/>
    <w:lvl w:ilvl="0" w:tplc="E16ED4C4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E6E45752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39F60514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2A1E29C8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3F2CE186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9144681E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CBAC271C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BD2CC762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8A5A136A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2" w15:restartNumberingAfterBreak="0">
    <w:nsid w:val="5C380916"/>
    <w:multiLevelType w:val="hybridMultilevel"/>
    <w:tmpl w:val="30745B1C"/>
    <w:lvl w:ilvl="0" w:tplc="9E7A5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5A1A2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018842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DC6C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7001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CAFC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B465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0421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BC7B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62248C3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BA6EA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AF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AE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05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6D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CE1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EC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6F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D44C157A"/>
    <w:lvl w:ilvl="0" w:tplc="3B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977E6B3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8DE86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44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C9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6A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4E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CC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23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80F8F"/>
    <w:rsid w:val="00084265"/>
    <w:rsid w:val="000919A1"/>
    <w:rsid w:val="001E209B"/>
    <w:rsid w:val="001E7A7A"/>
    <w:rsid w:val="0021769A"/>
    <w:rsid w:val="00242D96"/>
    <w:rsid w:val="003611B8"/>
    <w:rsid w:val="003C7016"/>
    <w:rsid w:val="00425E7C"/>
    <w:rsid w:val="00447721"/>
    <w:rsid w:val="004D7F88"/>
    <w:rsid w:val="00501C66"/>
    <w:rsid w:val="00516FDA"/>
    <w:rsid w:val="0052749F"/>
    <w:rsid w:val="005A6BD3"/>
    <w:rsid w:val="00614A54"/>
    <w:rsid w:val="00682B25"/>
    <w:rsid w:val="006D567D"/>
    <w:rsid w:val="006D5801"/>
    <w:rsid w:val="00732E22"/>
    <w:rsid w:val="007D5E26"/>
    <w:rsid w:val="007E59BF"/>
    <w:rsid w:val="00844207"/>
    <w:rsid w:val="0086098A"/>
    <w:rsid w:val="00864F2F"/>
    <w:rsid w:val="008C495A"/>
    <w:rsid w:val="008F44CD"/>
    <w:rsid w:val="0091737C"/>
    <w:rsid w:val="009C739A"/>
    <w:rsid w:val="00A203D0"/>
    <w:rsid w:val="00A527A5"/>
    <w:rsid w:val="00B12D55"/>
    <w:rsid w:val="00B36EE2"/>
    <w:rsid w:val="00B6410A"/>
    <w:rsid w:val="00BB2331"/>
    <w:rsid w:val="00BD08E2"/>
    <w:rsid w:val="00BE61E1"/>
    <w:rsid w:val="00BE792D"/>
    <w:rsid w:val="00C07656"/>
    <w:rsid w:val="00CA3FC2"/>
    <w:rsid w:val="00CD16DA"/>
    <w:rsid w:val="00CF0D8A"/>
    <w:rsid w:val="00D6589B"/>
    <w:rsid w:val="00D75134"/>
    <w:rsid w:val="00E0219F"/>
    <w:rsid w:val="00E90171"/>
    <w:rsid w:val="00E96360"/>
    <w:rsid w:val="00EC5418"/>
    <w:rsid w:val="00F03DF3"/>
    <w:rsid w:val="00F41493"/>
    <w:rsid w:val="00F431CE"/>
    <w:rsid w:val="00F50CAC"/>
    <w:rsid w:val="00F51BF0"/>
    <w:rsid w:val="00F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63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1769A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1769A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21769A"/>
    <w:pPr>
      <w:widowControl w:val="0"/>
      <w:autoSpaceDE w:val="0"/>
      <w:autoSpaceDN w:val="0"/>
      <w:ind w:left="700" w:hanging="36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7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69A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69A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8A"/>
    <w:pPr>
      <w:widowControl/>
      <w:autoSpaceDE/>
      <w:autoSpaceDN/>
    </w:pPr>
    <w:rPr>
      <w:rFonts w:ascii="Times New Roman" w:eastAsia="Times New Roman" w:hAnsi="Times New Roman" w:cs="Times New Roman"/>
      <w:b/>
      <w:bCs/>
      <w:color w:val="000000"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8A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962B3-AF6C-4DE4-B76B-B01E59495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5B1F6-4012-4F8A-BF93-E4169FEF4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A87BB-5907-40C0-B863-EF53831C61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860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Base>https://www.cabinet.qld.gov.au/documents/2019/Oct/ApptEWLOm/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2019-11-17T23:20:00Z</dcterms:created>
  <dcterms:modified xsi:type="dcterms:W3CDTF">2020-02-03T10:52:00Z</dcterms:modified>
  <cp:category>Significant_Appointments,Justice,Water,Land,Energy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